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</w:pPr>
            <w:r>
              <w:rPr>
                <w:sz w:val="28"/>
                <w:szCs w:val="28"/>
              </w:rPr>
              <w:t xml:space="preserve">Об утверждении схемы размещения </w:t>
            </w:r>
            <w:r>
              <w:rPr>
                <w:sz w:val="28"/>
                <w:szCs w:val="28"/>
              </w:rPr>
              <w:t xml:space="preserve">нестационарных торговых объектов на</w:t>
            </w:r>
            <w:r/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Великоархангельского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Бутурлиновского </w:t>
            </w:r>
            <w:r>
              <w:rPr>
                <w:sz w:val="28"/>
                <w:szCs w:val="28"/>
              </w:rPr>
              <w:t xml:space="preserve">муниципального района Воронежской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от 11.04.2024г. №22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Великоархангельского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Бутурлиновского муниципального района </w:t>
            </w: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06 мая 2024 года  по 24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мая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22</cp:revision>
  <dcterms:created xsi:type="dcterms:W3CDTF">2022-06-16T05:22:00Z</dcterms:created>
  <dcterms:modified xsi:type="dcterms:W3CDTF">2024-10-23T19:10:47Z</dcterms:modified>
</cp:coreProperties>
</file>