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утверждении Положения о предоставлении субсидий субъектам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малого и среднего предпринимательства  на компенсацию части затрат по уплате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первого взноса (аванса) по договору (договорам) лизинга, заключенному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лизинговой организацией в целях создания и (или) развития либо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модернизации производства товаров (работ, услуг) от 07.08.2024г. №392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Дата проведения публичного обсуждения: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 26 августа 2024 года  по 13 сентября 2024 года.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13.09.2024г.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2024-10-23T13:31:08Z</dcterms:modified>
</cp:coreProperties>
</file>