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Колодеевского сельского поселения Бутурлиновского муниципального района Воронежской области  от 12.04.2024г. №15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ата проведения публичного обсуждения: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 06 мая 2024 года  по 24 мая 2024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24.05.2024г.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2024-10-23T19:40:33Z</dcterms:modified>
</cp:coreProperties>
</file>