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2AF4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AF4">
        <w:rPr>
          <w:rFonts w:ascii="Times New Roman" w:eastAsia="Calibri" w:hAnsi="Times New Roman" w:cs="Times New Roman"/>
          <w:sz w:val="20"/>
          <w:szCs w:val="20"/>
        </w:rPr>
        <w:t xml:space="preserve">Руководитель </w:t>
      </w:r>
      <w:r w:rsidRPr="00362A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отдела финансов</w:t>
      </w:r>
    </w:p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A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Бутурлиновского </w:t>
      </w:r>
    </w:p>
    <w:p w:rsidR="00EE4B77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2A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</w:t>
      </w:r>
      <w:r w:rsidR="00EE4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ного района</w:t>
      </w:r>
      <w:r w:rsidR="00EE4B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Воронежской области</w:t>
      </w:r>
    </w:p>
    <w:p w:rsidR="00EE4B77" w:rsidRDefault="00EE4B77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62AF4" w:rsidRPr="00362AF4" w:rsidRDefault="00EE4B77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_____________О.И. Барбашина</w:t>
      </w:r>
    </w:p>
    <w:p w:rsidR="00362AF4" w:rsidRPr="00EE4B77" w:rsidRDefault="00EE4B77" w:rsidP="00EE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D453F">
        <w:rPr>
          <w:rFonts w:ascii="Times New Roman" w:eastAsia="Times New Roman" w:hAnsi="Times New Roman" w:cs="Times New Roman"/>
          <w:sz w:val="20"/>
          <w:szCs w:val="20"/>
          <w:lang w:eastAsia="ru-RU"/>
        </w:rPr>
        <w:t>23.12.2022</w:t>
      </w:r>
      <w:r w:rsidRPr="00EE4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</w:p>
    <w:p w:rsidR="00362AF4" w:rsidRPr="00362AF4" w:rsidRDefault="00362AF4" w:rsidP="00362A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C13DE" w:rsidRDefault="00362AF4" w:rsidP="00362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F4">
        <w:rPr>
          <w:rFonts w:ascii="Times New Roman" w:hAnsi="Times New Roman" w:cs="Times New Roman"/>
          <w:b/>
          <w:sz w:val="24"/>
          <w:szCs w:val="24"/>
        </w:rPr>
        <w:t>Реестр бюджетных рисков в отделе финансов администрации Бутурлиновского муниципального района</w:t>
      </w:r>
    </w:p>
    <w:p w:rsidR="00362AF4" w:rsidRDefault="00362AF4" w:rsidP="00362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5495"/>
        <w:gridCol w:w="4678"/>
        <w:gridCol w:w="2126"/>
        <w:gridCol w:w="1559"/>
        <w:gridCol w:w="1559"/>
      </w:tblGrid>
      <w:tr w:rsidR="00362AF4" w:rsidRPr="00362AF4" w:rsidTr="00084D8C">
        <w:trPr>
          <w:trHeight w:val="341"/>
        </w:trPr>
        <w:tc>
          <w:tcPr>
            <w:tcW w:w="5495" w:type="dxa"/>
            <w:vMerge w:val="restart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риска</w:t>
            </w:r>
          </w:p>
        </w:tc>
        <w:tc>
          <w:tcPr>
            <w:tcW w:w="4678" w:type="dxa"/>
            <w:vMerge w:val="restart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основания квалификации нарушения (риска)</w:t>
            </w:r>
          </w:p>
        </w:tc>
        <w:tc>
          <w:tcPr>
            <w:tcW w:w="2126" w:type="dxa"/>
            <w:vMerge w:val="restart"/>
          </w:tcPr>
          <w:p w:rsidR="00362AF4" w:rsidRPr="00362AF4" w:rsidRDefault="00362AF4" w:rsidP="0008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 объектов контроля</w:t>
            </w:r>
          </w:p>
        </w:tc>
        <w:tc>
          <w:tcPr>
            <w:tcW w:w="3118" w:type="dxa"/>
            <w:gridSpan w:val="2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риска</w:t>
            </w: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  <w:vMerge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Значимость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</w:t>
            </w: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Нарушения (риски) при применении кодов классификации расходов бюджетов</w:t>
            </w:r>
          </w:p>
        </w:tc>
        <w:tc>
          <w:tcPr>
            <w:tcW w:w="4678" w:type="dxa"/>
          </w:tcPr>
          <w:p w:rsidR="00362AF4" w:rsidRPr="00362AF4" w:rsidRDefault="0073501B" w:rsidP="00AB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18,19,21 БК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формы бюджетной сметы форме, установленной порядком ГРБС </w:t>
            </w:r>
          </w:p>
        </w:tc>
        <w:tc>
          <w:tcPr>
            <w:tcW w:w="4678" w:type="dxa"/>
          </w:tcPr>
          <w:p w:rsidR="00362AF4" w:rsidRPr="00362AF4" w:rsidRDefault="00AB195A" w:rsidP="00AB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95A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Минфина России от 14.02.2018 N 26н (ред. от 30.09.2021) "Об Общих требованиях к порядку составления, утверждения и ведения бюджетных смет казенных учреждений" 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бюджетных ассигнований с нарушением соответствующей методики, устанавливаемой соответствующим финансовым органом </w:t>
            </w:r>
          </w:p>
        </w:tc>
        <w:tc>
          <w:tcPr>
            <w:tcW w:w="4678" w:type="dxa"/>
          </w:tcPr>
          <w:p w:rsidR="00362AF4" w:rsidRPr="00362AF4" w:rsidRDefault="00E719DA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 ст. 174.2 БК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362AF4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бюджетных ассигнований без учета необходимости его осуществления раздельно по бюджетным ассигнованиям на исполнение действующих и принимаемых обязательств</w:t>
            </w:r>
          </w:p>
        </w:tc>
        <w:tc>
          <w:tcPr>
            <w:tcW w:w="4678" w:type="dxa"/>
          </w:tcPr>
          <w:p w:rsidR="00362AF4" w:rsidRPr="00362AF4" w:rsidRDefault="00AB5BFF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19DA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9D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19DA">
              <w:rPr>
                <w:rFonts w:ascii="Times New Roman" w:hAnsi="Times New Roman" w:cs="Times New Roman"/>
                <w:sz w:val="20"/>
                <w:szCs w:val="20"/>
              </w:rPr>
              <w:t xml:space="preserve"> 174.2 БК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 xml:space="preserve">отдел финансов администрации Бутурлиновского муниципального </w:t>
            </w:r>
            <w:r w:rsidRPr="00362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B50D05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арифметических ошибок при формировании бюджетной сметы</w:t>
            </w:r>
          </w:p>
        </w:tc>
        <w:tc>
          <w:tcPr>
            <w:tcW w:w="4678" w:type="dxa"/>
          </w:tcPr>
          <w:p w:rsidR="00362AF4" w:rsidRPr="00AB195A" w:rsidRDefault="00AB195A" w:rsidP="00AB195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95A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Минфина России от 14.02.2018 N 26н (ред. от 30.09.2021) "Об Общих требованиях к порядку составления, утверждения и ведения бюджетных смет казенных учреждений" 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B50D05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сроков формирования бюджетной сметы </w:t>
            </w:r>
          </w:p>
        </w:tc>
        <w:tc>
          <w:tcPr>
            <w:tcW w:w="4678" w:type="dxa"/>
          </w:tcPr>
          <w:p w:rsidR="00362AF4" w:rsidRPr="00AB195A" w:rsidRDefault="00AB195A" w:rsidP="00AB195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95A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Минфина России от 14.02.2018 N 26н (ред. от 30.09.2021) "Об Общих требованиях к порядку составления, утверждения и ведения бюджетных смет казенных учреждений" 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B50D05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суммы принимаемого бюджетного обязательства над лимитами бюджетных обязательств </w:t>
            </w:r>
          </w:p>
        </w:tc>
        <w:tc>
          <w:tcPr>
            <w:tcW w:w="4678" w:type="dxa"/>
          </w:tcPr>
          <w:p w:rsidR="00362AF4" w:rsidRPr="00362AF4" w:rsidRDefault="00294F3E" w:rsidP="00AB1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совета народных депутатов Бутурлиновского муниципального района Воронежской области №</w:t>
            </w:r>
            <w:r w:rsidR="00AB19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AB1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195A">
              <w:rPr>
                <w:rFonts w:ascii="Times New Roman" w:hAnsi="Times New Roman" w:cs="Times New Roman"/>
                <w:sz w:val="20"/>
                <w:szCs w:val="20"/>
              </w:rPr>
              <w:t xml:space="preserve">12.2022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A133DD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сроков начисления и перечисления заработной платы, удержаний из заработной платы и начислений во внебюджетные фонды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136 ТК РФ, гл. 34 НК РФ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1238DF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утвержденной в установленном порядке учетной политики</w:t>
            </w:r>
          </w:p>
        </w:tc>
        <w:tc>
          <w:tcPr>
            <w:tcW w:w="4678" w:type="dxa"/>
          </w:tcPr>
          <w:p w:rsidR="00362AF4" w:rsidRPr="00362AF4" w:rsidRDefault="00294F3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7,8,29 Закона №402-ФЗ «О бухгалтерском учете» (далее</w:t>
            </w:r>
            <w:r w:rsidR="00BC6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Закон №402- ФЗ)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1238DF" w:rsidP="008A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Искажение любого показателя бухгалтерской отчетности, выраженного в денежном измерении</w:t>
            </w:r>
          </w:p>
        </w:tc>
        <w:tc>
          <w:tcPr>
            <w:tcW w:w="4678" w:type="dxa"/>
          </w:tcPr>
          <w:p w:rsidR="00362AF4" w:rsidRPr="00362AF4" w:rsidRDefault="00084D8C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ст. 158, 162, 264.1, 264.2 БК РФ; Закон №402 – ФЗ;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Минфина России от 01.12.2010 «157н </w:t>
            </w:r>
            <w:r w:rsidR="00CC5D4B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фондами, государственных академических наук, государственных (муниципальных) учреждений и инструкции по его применению», Приказ Минфина России от 06.12.2010 №162н  « Об утверждении Плана счетов бюджетного учета и Инструкции по его применению»;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Приказ Минфина России от 28.12.2010 «191н «Об утверждении Инструкции о порядке составления годовой, квартальной и месячной отчетности о б исполнении бюджетов бюджетной системы Российской Федерации» (далее соответственно – Приказ Минфина №162н, Приказ Минфина №157н, Приказ Минфина №191н, Инструкция №162, Инструкция №157, Инструкция №191</w:t>
            </w:r>
            <w:proofErr w:type="gramEnd"/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341"/>
        </w:trPr>
        <w:tc>
          <w:tcPr>
            <w:tcW w:w="5495" w:type="dxa"/>
          </w:tcPr>
          <w:p w:rsidR="00362AF4" w:rsidRPr="00362AF4" w:rsidRDefault="001238DF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бухгалтерской (финансовой) отчетности не на основе данных, содержащихся в регистрах бухгалтерского учета</w:t>
            </w:r>
          </w:p>
        </w:tc>
        <w:tc>
          <w:tcPr>
            <w:tcW w:w="4678" w:type="dxa"/>
          </w:tcPr>
          <w:p w:rsidR="00362AF4" w:rsidRPr="00362AF4" w:rsidRDefault="00B44B53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264.1,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264.2 БК РФ; Закон №402-ФЗ; Приказ Минфина №162н; Приказ Минфина №157н; Приказ Минфина №191н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1138"/>
        </w:trPr>
        <w:tc>
          <w:tcPr>
            <w:tcW w:w="5495" w:type="dxa"/>
          </w:tcPr>
          <w:p w:rsidR="00362AF4" w:rsidRPr="00362AF4" w:rsidRDefault="000C59B8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первичных учетных документов, и (или) регистров бухгалтерского учета, и (или) бухгалтерской (финансовой) отчетности, и (или) аудиторского  заключения о бухгалтерской (финансовой) отчетности (в случае, если  проведение аудита бухгалтерской (финансовой) отчетности является обязательным) в течение установленных сроков хранения таких документов </w:t>
            </w:r>
            <w:proofErr w:type="gramEnd"/>
          </w:p>
        </w:tc>
        <w:tc>
          <w:tcPr>
            <w:tcW w:w="4678" w:type="dxa"/>
          </w:tcPr>
          <w:p w:rsidR="00362AF4" w:rsidRPr="00362AF4" w:rsidRDefault="00CC42F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264.1,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264.2 БК РФ; Закон №402-ФЗ; Приказ Минфина №162н; Приказ Минфина №157н; Приказ Минфина №191н</w:t>
            </w:r>
          </w:p>
        </w:tc>
        <w:tc>
          <w:tcPr>
            <w:tcW w:w="2126" w:type="dxa"/>
          </w:tcPr>
          <w:p w:rsidR="00362AF4" w:rsidRPr="00362AF4" w:rsidRDefault="000C59B8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F4" w:rsidRPr="00362AF4" w:rsidTr="00084D8C">
        <w:trPr>
          <w:trHeight w:val="987"/>
        </w:trPr>
        <w:tc>
          <w:tcPr>
            <w:tcW w:w="5495" w:type="dxa"/>
          </w:tcPr>
          <w:p w:rsidR="00362AF4" w:rsidRPr="00362AF4" w:rsidRDefault="00CE6A22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учаях, сроках и порядке, а также к перечню объектов, подлежащих инвентаризации</w:t>
            </w:r>
          </w:p>
        </w:tc>
        <w:tc>
          <w:tcPr>
            <w:tcW w:w="4678" w:type="dxa"/>
          </w:tcPr>
          <w:p w:rsidR="00362AF4" w:rsidRPr="00362AF4" w:rsidRDefault="00CC42F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264.1,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264.2 БК РФ; Закон №402-ФЗ; Приказ Минфина №162н; Приказ Минфина №157н; Приказ Минфина №191н; Методические указания по инвентаризации имущества и финансовых обязательств, утвержденные приказом Минфина России от 13.06.1995 № 49</w:t>
            </w:r>
          </w:p>
        </w:tc>
        <w:tc>
          <w:tcPr>
            <w:tcW w:w="2126" w:type="dxa"/>
          </w:tcPr>
          <w:p w:rsidR="00362AF4" w:rsidRPr="00362AF4" w:rsidRDefault="00362AF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806"/>
        </w:trPr>
        <w:tc>
          <w:tcPr>
            <w:tcW w:w="5495" w:type="dxa"/>
          </w:tcPr>
          <w:p w:rsidR="00CE6A22" w:rsidRPr="00362AF4" w:rsidRDefault="004D081A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Искажение счетов бюджетного учета, порядка отражения операций по исполнению бюджета</w:t>
            </w:r>
          </w:p>
        </w:tc>
        <w:tc>
          <w:tcPr>
            <w:tcW w:w="4678" w:type="dxa"/>
          </w:tcPr>
          <w:p w:rsidR="00CE6A22" w:rsidRPr="00362AF4" w:rsidRDefault="00CC42F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158,162,264.1,264.2 БК РФ; Закон №402-ФЗ; Приказ Минфина №162н; Приказ Минфина №157н; Приказ Минфина №191н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703"/>
        </w:trPr>
        <w:tc>
          <w:tcPr>
            <w:tcW w:w="5495" w:type="dxa"/>
          </w:tcPr>
          <w:p w:rsidR="00CE6A22" w:rsidRPr="00362AF4" w:rsidRDefault="00CE6A22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4678" w:type="dxa"/>
          </w:tcPr>
          <w:p w:rsidR="00CE6A22" w:rsidRPr="00362AF4" w:rsidRDefault="004C558C" w:rsidP="004C5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264.1, 264.2 БК РФ; ст.9 Закона № 402- ФЗ; п.3, подп.2 п.7 Обязательных реквизитов и порядка заполнения путевых листов, утвержденных приказом Минтранса России от 18.09.2008 №152; п.п. 10, 11 Инструкции №157н; приказ Минфина России от 30.03.2015 №52н № об утверждении форм первичных учетных документов и регистров бухгалтерского учета, применяемых  органами государственной власти (государственными органами), органами местного самоуправления, органами управления государственными  внебюджетными фондами, государственными  (муниципальными) учреждениями, и Методических указаний по их применению» (далее – приказ Минфина №52н)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178"/>
        </w:trPr>
        <w:tc>
          <w:tcPr>
            <w:tcW w:w="5495" w:type="dxa"/>
          </w:tcPr>
          <w:p w:rsidR="00CE6A22" w:rsidRPr="00362AF4" w:rsidRDefault="00CE6A22" w:rsidP="0036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4678" w:type="dxa"/>
          </w:tcPr>
          <w:p w:rsidR="00C86585" w:rsidRPr="00C86585" w:rsidRDefault="00C86585" w:rsidP="00C86585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b w:val="0"/>
                <w:color w:val="22272F"/>
                <w:sz w:val="20"/>
                <w:szCs w:val="20"/>
              </w:rPr>
            </w:pPr>
            <w:r w:rsidRPr="00C86585">
              <w:rPr>
                <w:b w:val="0"/>
                <w:sz w:val="20"/>
                <w:szCs w:val="20"/>
              </w:rPr>
              <w:t xml:space="preserve">ст. ст. 158,162,264.1,264.2 БК РФ; ст.10 Закона №402-ФЗ; п.11 Инструкции 157н; приказ Минфина России от 30.03.2015№52н «Об утверждении форм первичных учетных документов и регистров бухгалтерского </w:t>
            </w:r>
            <w:proofErr w:type="gramStart"/>
            <w:r w:rsidRPr="00C86585">
              <w:rPr>
                <w:b w:val="0"/>
                <w:sz w:val="20"/>
                <w:szCs w:val="20"/>
              </w:rPr>
              <w:t>учета</w:t>
            </w:r>
            <w:proofErr w:type="gramEnd"/>
            <w:r w:rsidR="003535FB">
              <w:rPr>
                <w:b w:val="0"/>
                <w:sz w:val="20"/>
                <w:szCs w:val="20"/>
              </w:rPr>
              <w:t xml:space="preserve"> </w:t>
            </w:r>
            <w:r w:rsidRPr="00C86585">
              <w:rPr>
                <w:b w:val="0"/>
                <w:color w:val="22272F"/>
                <w:sz w:val="20"/>
                <w:szCs w:val="20"/>
              </w:rPr>
              <w:t>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(с изменениями и дополнениями)</w:t>
            </w:r>
          </w:p>
          <w:p w:rsidR="00CE6A22" w:rsidRPr="00362AF4" w:rsidRDefault="00CE6A22" w:rsidP="00C86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6A22" w:rsidRPr="00362AF4" w:rsidRDefault="00C86585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A22"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879"/>
        </w:trPr>
        <w:tc>
          <w:tcPr>
            <w:tcW w:w="5495" w:type="dxa"/>
          </w:tcPr>
          <w:p w:rsidR="00CE6A22" w:rsidRPr="00362AF4" w:rsidRDefault="00CE6A22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требований, предъявляемых к проведению инвентаризации активов и обязательств, а также к перечню объектов, подлежащих инвентаризации определенным экономическим субъектом</w:t>
            </w:r>
          </w:p>
        </w:tc>
        <w:tc>
          <w:tcPr>
            <w:tcW w:w="4678" w:type="dxa"/>
          </w:tcPr>
          <w:p w:rsidR="00CE6A22" w:rsidRPr="00362AF4" w:rsidRDefault="00D91BE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 162, 264.1, 264.2 БК РФ; ст. 11 Закона №402-ФЗ; Положение по ведению бухгалтерского учета и бухгалтерской отчетности в Российской Федерации, утвержденное приказом Минфина России от 29.07.1998 № 34н; Методологические указания по  инвентаризации имущества и финансовых обязательств, утвержденные приказом Минфина России от 13.06.1995 №49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222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Несоответствие фактического наличия материальных ценностей данным бухгалтерского учета</w:t>
            </w:r>
          </w:p>
        </w:tc>
        <w:tc>
          <w:tcPr>
            <w:tcW w:w="4678" w:type="dxa"/>
          </w:tcPr>
          <w:p w:rsidR="00CE6A22" w:rsidRPr="00362AF4" w:rsidRDefault="00941514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6585">
              <w:rPr>
                <w:rFonts w:ascii="Times New Roman" w:hAnsi="Times New Roman" w:cs="Times New Roman"/>
                <w:sz w:val="20"/>
                <w:szCs w:val="20"/>
              </w:rPr>
              <w:t>т. ст.158,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585">
              <w:rPr>
                <w:rFonts w:ascii="Times New Roman" w:hAnsi="Times New Roman" w:cs="Times New Roman"/>
                <w:sz w:val="20"/>
                <w:szCs w:val="20"/>
              </w:rPr>
              <w:t>162,</w:t>
            </w:r>
            <w:r w:rsidR="0035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585">
              <w:rPr>
                <w:rFonts w:ascii="Times New Roman" w:hAnsi="Times New Roman" w:cs="Times New Roman"/>
                <w:sz w:val="20"/>
                <w:szCs w:val="20"/>
              </w:rPr>
              <w:t>264.1, 264.2 БК РФ; Закон №402-ФЗ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987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лимита остатка наличных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ассе</w:t>
            </w:r>
          </w:p>
        </w:tc>
        <w:tc>
          <w:tcPr>
            <w:tcW w:w="4678" w:type="dxa"/>
          </w:tcPr>
          <w:p w:rsidR="00CE6A22" w:rsidRPr="00362AF4" w:rsidRDefault="00EA4187" w:rsidP="00EA4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ст. 158, 162, 264.1, 264.2 БК РФ; Указания Банка России </w:t>
            </w:r>
            <w:r w:rsidRPr="00EA4187">
              <w:rPr>
                <w:rFonts w:ascii="Times New Roman" w:hAnsi="Times New Roman" w:cs="Times New Roman"/>
                <w:sz w:val="20"/>
                <w:szCs w:val="20"/>
              </w:rPr>
              <w:t>от 11.03.2014 №3210-У</w:t>
            </w:r>
            <w:r w:rsidRPr="00EA41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EA41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1128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порядка начисления амортизации на объекты основных средств</w:t>
            </w:r>
          </w:p>
        </w:tc>
        <w:tc>
          <w:tcPr>
            <w:tcW w:w="4678" w:type="dxa"/>
          </w:tcPr>
          <w:p w:rsidR="00CE6A22" w:rsidRPr="00362AF4" w:rsidRDefault="00941514" w:rsidP="0094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ст.158,162, 264.1, 264.2 БК РФ; Закон №402-ФЗ; Приказ Минфина России №157н, Приказ Минфина России №191н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22" w:rsidRPr="00362AF4" w:rsidTr="00084D8C">
        <w:trPr>
          <w:trHeight w:val="705"/>
        </w:trPr>
        <w:tc>
          <w:tcPr>
            <w:tcW w:w="5495" w:type="dxa"/>
          </w:tcPr>
          <w:p w:rsidR="00CE6A22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порядка списания нефинансовых активов и безвозмездной их передачи </w:t>
            </w:r>
          </w:p>
        </w:tc>
        <w:tc>
          <w:tcPr>
            <w:tcW w:w="4678" w:type="dxa"/>
          </w:tcPr>
          <w:p w:rsidR="00CE6A22" w:rsidRPr="00362AF4" w:rsidRDefault="00941514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ст.158,162, 264.1, 264.2 БК РФ; Закон №402-ФЗ; Приказ Минфина России №157н, Приказ Минфина России №191н</w:t>
            </w:r>
          </w:p>
        </w:tc>
        <w:tc>
          <w:tcPr>
            <w:tcW w:w="2126" w:type="dxa"/>
          </w:tcPr>
          <w:p w:rsidR="00CE6A22" w:rsidRPr="00362AF4" w:rsidRDefault="00CE6A22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A22" w:rsidRPr="00362AF4" w:rsidRDefault="00CE6A22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514" w:rsidRPr="00362AF4" w:rsidTr="00084D8C">
        <w:trPr>
          <w:trHeight w:val="705"/>
        </w:trPr>
        <w:tc>
          <w:tcPr>
            <w:tcW w:w="5495" w:type="dxa"/>
          </w:tcPr>
          <w:p w:rsidR="00941514" w:rsidRDefault="00941514" w:rsidP="004D0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Искажение бюджетной отчетности</w:t>
            </w:r>
          </w:p>
        </w:tc>
        <w:tc>
          <w:tcPr>
            <w:tcW w:w="4678" w:type="dxa"/>
          </w:tcPr>
          <w:p w:rsidR="00941514" w:rsidRPr="00362AF4" w:rsidRDefault="00884C31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ст.158, 162, 264.1, 264.2 БК РФ; ст.ст.1-3, 13-15 Закона № 402- ФЗ; Инструкция  о порядке составления предоставления годовой, квартальной и месячной отчетности об исполнении бюджетов бюджетной системы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утвержденная приказом Минфина России от 28.12.2010 № 191н; п. 3 раздела 1 Инструкции 157</w:t>
            </w:r>
          </w:p>
        </w:tc>
        <w:tc>
          <w:tcPr>
            <w:tcW w:w="2126" w:type="dxa"/>
          </w:tcPr>
          <w:p w:rsidR="00941514" w:rsidRPr="00362AF4" w:rsidRDefault="00941514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514" w:rsidRPr="00362AF4" w:rsidRDefault="0094151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514" w:rsidRPr="00362AF4" w:rsidRDefault="0094151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5F" w:rsidRPr="00362AF4" w:rsidTr="00084D8C">
        <w:trPr>
          <w:trHeight w:val="705"/>
        </w:trPr>
        <w:tc>
          <w:tcPr>
            <w:tcW w:w="5495" w:type="dxa"/>
          </w:tcPr>
          <w:p w:rsidR="007F035F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общих требований к бухгалтерской (финансовой) отчетности  экономического  субъекта, в том числе к ее составу</w:t>
            </w:r>
          </w:p>
        </w:tc>
        <w:tc>
          <w:tcPr>
            <w:tcW w:w="4678" w:type="dxa"/>
          </w:tcPr>
          <w:p w:rsidR="007F035F" w:rsidRPr="00362AF4" w:rsidRDefault="00941514" w:rsidP="0094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 162, 264.1, 264.2 БК РФ; ст. ст. 13,</w:t>
            </w:r>
            <w:r w:rsidR="00233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Закона №402-ФЗ; Инструкция  №157н</w:t>
            </w:r>
          </w:p>
        </w:tc>
        <w:tc>
          <w:tcPr>
            <w:tcW w:w="2126" w:type="dxa"/>
          </w:tcPr>
          <w:p w:rsidR="007F035F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5F" w:rsidRPr="00362AF4" w:rsidTr="00084D8C">
        <w:trPr>
          <w:trHeight w:val="705"/>
        </w:trPr>
        <w:tc>
          <w:tcPr>
            <w:tcW w:w="5495" w:type="dxa"/>
          </w:tcPr>
          <w:p w:rsidR="007F035F" w:rsidRDefault="007F035F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сроков отчетного периода и отчетной даты для промежуточной и (или) годовой бухгалтерской (финансовой) отчетности экономического субъекта</w:t>
            </w:r>
          </w:p>
        </w:tc>
        <w:tc>
          <w:tcPr>
            <w:tcW w:w="4678" w:type="dxa"/>
          </w:tcPr>
          <w:p w:rsidR="007F035F" w:rsidRPr="00362AF4" w:rsidRDefault="002330A8" w:rsidP="00233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ст.158, 162, 264.1, 264.2 БК РФ; ст. 15 Закона №402-ФЗ; Инструкция  №157н</w:t>
            </w:r>
          </w:p>
        </w:tc>
        <w:tc>
          <w:tcPr>
            <w:tcW w:w="2126" w:type="dxa"/>
          </w:tcPr>
          <w:p w:rsidR="007F035F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35F" w:rsidRPr="00362AF4" w:rsidRDefault="007F035F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744" w:rsidRPr="00362AF4" w:rsidTr="00084D8C">
        <w:trPr>
          <w:trHeight w:val="705"/>
        </w:trPr>
        <w:tc>
          <w:tcPr>
            <w:tcW w:w="5495" w:type="dxa"/>
          </w:tcPr>
          <w:p w:rsidR="00897744" w:rsidRDefault="00897744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Грубое нарушение правил ведения бухгалтерского учета, выразившееся в искажение любой статьи (строки) формы бухгалтерской отчетности не менее чем на 10 процентов</w:t>
            </w:r>
          </w:p>
        </w:tc>
        <w:tc>
          <w:tcPr>
            <w:tcW w:w="4678" w:type="dxa"/>
          </w:tcPr>
          <w:p w:rsidR="00897744" w:rsidRPr="00362AF4" w:rsidRDefault="004017EA" w:rsidP="00401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158, 162, 264.1, 264.2 БК РФ; ч.3 ст. 9, ст. 10 Закона № 402-ФЗ; Инструкция  №157н</w:t>
            </w:r>
          </w:p>
        </w:tc>
        <w:tc>
          <w:tcPr>
            <w:tcW w:w="2126" w:type="dxa"/>
          </w:tcPr>
          <w:p w:rsidR="00897744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744" w:rsidRPr="00362AF4" w:rsidTr="00084D8C">
        <w:trPr>
          <w:trHeight w:val="705"/>
        </w:trPr>
        <w:tc>
          <w:tcPr>
            <w:tcW w:w="5495" w:type="dxa"/>
          </w:tcPr>
          <w:p w:rsidR="00897744" w:rsidRDefault="00897744" w:rsidP="00CE6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федерального</w:t>
            </w:r>
            <w:r w:rsidR="00850B09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4678" w:type="dxa"/>
          </w:tcPr>
          <w:p w:rsidR="00897744" w:rsidRPr="00362AF4" w:rsidRDefault="00A125FE" w:rsidP="00CC4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ст. 264.1-264.3, ст. 264.7 БК РФ; Постановление</w:t>
            </w:r>
            <w:r w:rsidR="00BE4BCD">
              <w:rPr>
                <w:rFonts w:ascii="Times New Roman" w:hAnsi="Times New Roman" w:cs="Times New Roman"/>
                <w:sz w:val="20"/>
                <w:szCs w:val="20"/>
              </w:rPr>
              <w:t xml:space="preserve"> №281; Инструкция о порядке составления и предоставления годовой, квартальной и месячной отчетности об исполнении бюджетной системы Российской Федерации, утвержденная приказом Минфина России от 28.12.2010 №191н</w:t>
            </w:r>
          </w:p>
        </w:tc>
        <w:tc>
          <w:tcPr>
            <w:tcW w:w="2126" w:type="dxa"/>
          </w:tcPr>
          <w:p w:rsidR="00897744" w:rsidRPr="00362AF4" w:rsidRDefault="00850B09" w:rsidP="00CC4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F4">
              <w:rPr>
                <w:rFonts w:ascii="Times New Roman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7744" w:rsidRPr="00362AF4" w:rsidRDefault="00897744" w:rsidP="00362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B77" w:rsidRDefault="00EE4B77" w:rsidP="00362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77" w:rsidRPr="00EE4B77" w:rsidRDefault="00EE4B77" w:rsidP="00EE4B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77">
        <w:rPr>
          <w:rFonts w:ascii="Times New Roman" w:hAnsi="Times New Roman" w:cs="Times New Roman"/>
          <w:sz w:val="20"/>
          <w:szCs w:val="20"/>
        </w:rPr>
        <w:t>Старший инспектор</w:t>
      </w:r>
    </w:p>
    <w:p w:rsidR="00362AF4" w:rsidRPr="00EE4B77" w:rsidRDefault="00EE4B77" w:rsidP="00EE4B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B77">
        <w:rPr>
          <w:rFonts w:ascii="Times New Roman" w:hAnsi="Times New Roman" w:cs="Times New Roman"/>
          <w:sz w:val="20"/>
          <w:szCs w:val="20"/>
        </w:rPr>
        <w:t xml:space="preserve"> отдела финансов       __________________  Е.В. Ковальчук</w:t>
      </w:r>
    </w:p>
    <w:sectPr w:rsidR="00362AF4" w:rsidRPr="00EE4B77" w:rsidSect="002C6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BD9"/>
    <w:rsid w:val="00030479"/>
    <w:rsid w:val="00084D8C"/>
    <w:rsid w:val="000C59B8"/>
    <w:rsid w:val="001238DF"/>
    <w:rsid w:val="002330A8"/>
    <w:rsid w:val="00294F3E"/>
    <w:rsid w:val="002C6BD9"/>
    <w:rsid w:val="002E10A4"/>
    <w:rsid w:val="003161D4"/>
    <w:rsid w:val="00326C06"/>
    <w:rsid w:val="003535FB"/>
    <w:rsid w:val="00361961"/>
    <w:rsid w:val="00362AF4"/>
    <w:rsid w:val="004017EA"/>
    <w:rsid w:val="004675C2"/>
    <w:rsid w:val="004C558C"/>
    <w:rsid w:val="004C6E70"/>
    <w:rsid w:val="004D081A"/>
    <w:rsid w:val="0064293C"/>
    <w:rsid w:val="00712AA5"/>
    <w:rsid w:val="0073501B"/>
    <w:rsid w:val="007F035F"/>
    <w:rsid w:val="00850B09"/>
    <w:rsid w:val="00884C31"/>
    <w:rsid w:val="0089078F"/>
    <w:rsid w:val="00897744"/>
    <w:rsid w:val="008A7B4B"/>
    <w:rsid w:val="008C13DE"/>
    <w:rsid w:val="00941514"/>
    <w:rsid w:val="009C37B4"/>
    <w:rsid w:val="009E7759"/>
    <w:rsid w:val="00A125FE"/>
    <w:rsid w:val="00A133DD"/>
    <w:rsid w:val="00AB195A"/>
    <w:rsid w:val="00AB5BFF"/>
    <w:rsid w:val="00B44B53"/>
    <w:rsid w:val="00B50D05"/>
    <w:rsid w:val="00BA38B5"/>
    <w:rsid w:val="00BC6882"/>
    <w:rsid w:val="00BE4BCD"/>
    <w:rsid w:val="00C75813"/>
    <w:rsid w:val="00C86585"/>
    <w:rsid w:val="00CC42F1"/>
    <w:rsid w:val="00CC5D4B"/>
    <w:rsid w:val="00CE6A22"/>
    <w:rsid w:val="00CF04A6"/>
    <w:rsid w:val="00D91BEE"/>
    <w:rsid w:val="00E719DA"/>
    <w:rsid w:val="00EA4187"/>
    <w:rsid w:val="00ED453F"/>
    <w:rsid w:val="00EE4B77"/>
    <w:rsid w:val="00F41EF0"/>
    <w:rsid w:val="00F56E9B"/>
    <w:rsid w:val="00F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F4"/>
    <w:pPr>
      <w:spacing w:after="160" w:line="259" w:lineRule="auto"/>
      <w:ind w:left="0"/>
      <w:jc w:val="left"/>
    </w:pPr>
  </w:style>
  <w:style w:type="paragraph" w:styleId="1">
    <w:name w:val="heading 1"/>
    <w:basedOn w:val="a"/>
    <w:link w:val="10"/>
    <w:uiPriority w:val="9"/>
    <w:qFormat/>
    <w:rsid w:val="00C86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A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0211-AD28-444E-BFB7-4CCEE880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4</cp:revision>
  <dcterms:created xsi:type="dcterms:W3CDTF">2022-12-28T08:01:00Z</dcterms:created>
  <dcterms:modified xsi:type="dcterms:W3CDTF">2022-12-28T08:14:00Z</dcterms:modified>
</cp:coreProperties>
</file>