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NormalTable"/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9906"/>
      </w:tblGrid>
      <w:tr w:rsidR="00000000">
        <w:tc>
          <w:tcPr>
            <w:tcW w:w="10772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/>
                <w:sz w:val="20"/>
              </w:rPr>
              <w:br/>
              <w:t xml:space="preserve">от 28 декабря 2010 г. № 191н </w:t>
            </w:r>
            <w:r>
              <w:rPr>
                <w:rFonts w:ascii="Times New Roman" w:eastAsia="Times New Roman" w:hAnsi="Times New Roman"/>
                <w:sz w:val="20"/>
              </w:rPr>
              <w:br/>
            </w:r>
            <w:r>
              <w:rPr>
                <w:rFonts w:ascii="Times New Roman" w:eastAsia="Times New Roman" w:hAnsi="Times New Roman"/>
                <w:i/>
                <w:sz w:val="20"/>
              </w:rPr>
              <w:t>(в ред. от 16 ноября 2016 г.)</w:t>
            </w:r>
          </w:p>
        </w:tc>
      </w:tr>
    </w:tbl>
    <w:p w:rsidR="00000000" w:rsidRDefault="00141739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vanish/>
          <w:sz w:val="24"/>
        </w:rPr>
        <w:t> </w:t>
      </w:r>
    </w:p>
    <w:tbl>
      <w:tblPr>
        <w:tblStyle w:val="NormalTable"/>
        <w:tblW w:w="9580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6551"/>
        <w:gridCol w:w="294"/>
        <w:gridCol w:w="1281"/>
        <w:gridCol w:w="1454"/>
      </w:tblGrid>
      <w:tr w:rsidR="00000000">
        <w:trPr>
          <w:trHeight w:val="27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ПОЯСНИТЕЛЬНАЯ ЗАПИСКА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</w:tr>
      <w:tr w:rsidR="00000000">
        <w:trPr>
          <w:trHeight w:val="25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КОДЫ</w:t>
            </w:r>
          </w:p>
        </w:tc>
      </w:tr>
      <w:tr w:rsidR="00000000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Форма по ОКУД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0503160</w:t>
            </w:r>
          </w:p>
        </w:tc>
      </w:tr>
      <w:tr w:rsidR="00000000">
        <w:trPr>
          <w:trHeight w:val="282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                          на   1 января 2021 г.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 Дата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01.01.2021</w:t>
            </w:r>
          </w:p>
        </w:tc>
      </w:tr>
      <w:tr w:rsidR="00000000">
        <w:trPr>
          <w:trHeight w:val="30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Главный распорядитель, распорядитель,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</w:tr>
      <w:tr w:rsidR="00000000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получатель бюджетных средств, главный администратор,   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0"/>
              </w:rPr>
            </w:pPr>
          </w:p>
        </w:tc>
      </w:tr>
      <w:tr w:rsidR="00000000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администратор доходов бюджета,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spacing w:line="195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0"/>
              </w:rPr>
            </w:pPr>
          </w:p>
        </w:tc>
      </w:tr>
      <w:tr w:rsidR="00000000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0"/>
              </w:rPr>
            </w:pPr>
          </w:p>
        </w:tc>
      </w:tr>
      <w:tr w:rsidR="00000000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администратор источников финансирования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0"/>
              </w:rPr>
            </w:pPr>
          </w:p>
        </w:tc>
      </w:tr>
      <w:tr w:rsidR="00000000"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>Совет народных депутатов Бутурлиновского муниципаль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>ного района Воронежской области</w:t>
            </w:r>
            <w:r>
              <w:rPr>
                <w:rFonts w:ascii="Times New Roman" w:eastAsia="Times New Roman" w:hAnsi="Times New Roman"/>
                <w:sz w:val="18"/>
              </w:rPr>
              <w:t>         </w:t>
            </w:r>
          </w:p>
          <w:p w:rsidR="00000000" w:rsidRDefault="0014173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Глава по БК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914</w:t>
            </w:r>
          </w:p>
        </w:tc>
      </w:tr>
      <w:tr w:rsidR="00000000">
        <w:trPr>
          <w:trHeight w:val="28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Наименование бюджета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</w:tr>
      <w:tr w:rsidR="00000000">
        <w:trPr>
          <w:trHeight w:val="210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>Собственный бюджет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</w:p>
          <w:p w:rsidR="00000000" w:rsidRDefault="00141739">
            <w:pPr>
              <w:spacing w:line="21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   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spacing w:line="21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5"/>
              </w:rPr>
              <w:t>20608101</w:t>
            </w:r>
          </w:p>
        </w:tc>
      </w:tr>
      <w:tr w:rsidR="00000000">
        <w:trPr>
          <w:trHeight w:val="31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Периодичность:    месячная, квартальная, годовая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</w:tr>
      <w:tr w:rsidR="00000000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Единица измерения: руб.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    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</w:rPr>
              <w:t>383</w:t>
            </w:r>
          </w:p>
        </w:tc>
      </w:tr>
      <w:tr w:rsidR="00000000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</w:tr>
      <w:tr w:rsidR="00000000">
        <w:trPr>
          <w:trHeight w:val="282"/>
        </w:trPr>
        <w:tc>
          <w:tcPr>
            <w:tcW w:w="0" w:type="auto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</w:tr>
    </w:tbl>
    <w:p w:rsidR="00000000" w:rsidRDefault="00141739">
      <w:pPr>
        <w:jc w:val="center"/>
      </w:pPr>
      <w:r>
        <w:rPr>
          <w:rFonts w:ascii="Times New Roman" w:eastAsia="Times New Roman" w:hAnsi="Times New Roman"/>
          <w:b/>
          <w:color w:val="000000"/>
          <w:sz w:val="28"/>
        </w:rPr>
        <w:t>Пояснительная  записка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 к годовому отчету 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Совета народных депутатов Бутурлиновского 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муниципального района Воронежской области 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color w:val="000000"/>
          <w:sz w:val="28"/>
        </w:rPr>
        <w:t>за 2021 год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color w:val="000000"/>
          <w:sz w:val="28"/>
        </w:rPr>
        <w:t> 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color w:val="000000"/>
          <w:sz w:val="28"/>
        </w:rPr>
        <w:t> 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i/>
          <w:color w:val="000000"/>
          <w:sz w:val="28"/>
        </w:rPr>
        <w:t>Раздел 1 «Организационная структура Совета народных депутатов Бутурлиновского муниципального района»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i/>
          <w:color w:val="000000"/>
          <w:sz w:val="28"/>
        </w:rPr>
        <w:t> 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t>Полное наименование: Совет народных депутатов Бутурлиновского муниципального района Воронежской области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t>Организационно-правовая форма:</w:t>
      </w:r>
      <w:r>
        <w:rPr>
          <w:rFonts w:ascii="Times New Roman" w:eastAsia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 xml:space="preserve">казенное учреждение 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t>Юридический почтовый адрес и адрес местонахождения: 397500 Воронежская область, г.Бутурлиновка, пл.В</w:t>
      </w:r>
      <w:r>
        <w:rPr>
          <w:rFonts w:ascii="Times New Roman" w:eastAsia="Times New Roman" w:hAnsi="Times New Roman"/>
          <w:color w:val="000000"/>
          <w:sz w:val="28"/>
        </w:rPr>
        <w:t>оли, д.43.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t>Совет народных депутатов Бутурлиновского муниципального района- представительный орган Бутурлиновского муниципального района,  действует на основании Устава Бутурлиновского муниципального района Воронежской области, утвержденного решением Совета</w:t>
      </w:r>
      <w:r>
        <w:rPr>
          <w:rFonts w:ascii="Times New Roman" w:eastAsia="Times New Roman" w:hAnsi="Times New Roman"/>
          <w:color w:val="000000"/>
          <w:sz w:val="28"/>
        </w:rPr>
        <w:t xml:space="preserve"> народных депутатов Бутурлиновского муниципального района Воронежской области от 27.02.2015 г. №211.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Подведомственных учреждений нет. 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lastRenderedPageBreak/>
        <w:t>Совет народных депутатов Бутурлиновского муниципального района является юридическим лицом, самостоятельно осуществляет фи</w:t>
      </w:r>
      <w:r>
        <w:rPr>
          <w:rFonts w:ascii="Times New Roman" w:eastAsia="Times New Roman" w:hAnsi="Times New Roman"/>
          <w:color w:val="000000"/>
          <w:sz w:val="28"/>
        </w:rPr>
        <w:t>нансово-хозяйственную деятельность, имеет самостоятельный баланс и лицевой счет, обладает обособленным имуществом, которое закрепляется за ним на праве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оперативного управления.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>Собственник имущества: муниципальное образование Бутурлиновский муниципальный р</w:t>
      </w:r>
      <w:r>
        <w:rPr>
          <w:rFonts w:ascii="Times New Roman" w:eastAsia="Times New Roman" w:hAnsi="Times New Roman"/>
          <w:color w:val="000000"/>
          <w:sz w:val="28"/>
        </w:rPr>
        <w:t>айон Воронежской области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>Учреждение вправе от своего имени заключать договоры, приобретать и осуществлять имущественные и личные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неимущественные права, нести ответственность, быть истцом и ответчиком в суде, арбитражном суде.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> 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i/>
          <w:color w:val="000000"/>
          <w:sz w:val="28"/>
        </w:rPr>
        <w:t>Раздел 2  «Результаты деятел</w:t>
      </w:r>
      <w:r>
        <w:rPr>
          <w:rFonts w:ascii="Times New Roman" w:eastAsia="Times New Roman" w:hAnsi="Times New Roman"/>
          <w:b/>
          <w:i/>
          <w:color w:val="000000"/>
          <w:sz w:val="28"/>
        </w:rPr>
        <w:t>ьности Совета народных депутатов Бутурлиновского муниципального района»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i/>
          <w:color w:val="000000"/>
          <w:sz w:val="28"/>
        </w:rPr>
        <w:t> 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t>В штатном расписании Совета народных депутатов Бутурлиновского муниципального района  утверждено три штатных единицы.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t>Средняя заработная плата по учреждению в 2020 году в сравнении с</w:t>
      </w:r>
      <w:r>
        <w:rPr>
          <w:rFonts w:ascii="Times New Roman" w:eastAsia="Times New Roman" w:hAnsi="Times New Roman"/>
          <w:color w:val="000000"/>
          <w:sz w:val="28"/>
        </w:rPr>
        <w:t xml:space="preserve"> 2019 годом увеличилась на 13.8 процента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 xml:space="preserve">и составила 38661 руб. 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t>Рабочее место каждого сотрудника технически оборудовано компьютерной техникой с доступом в Интернет. Также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оборудованы кабинеты для приема граждан. Учреждение снабжено копировальной техникой,</w:t>
      </w:r>
      <w:r>
        <w:rPr>
          <w:rFonts w:ascii="Times New Roman" w:eastAsia="Times New Roman" w:hAnsi="Times New Roman"/>
          <w:color w:val="000000"/>
          <w:sz w:val="28"/>
        </w:rPr>
        <w:t xml:space="preserve"> факсимильной связью.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t> 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i/>
          <w:color w:val="000000"/>
          <w:sz w:val="28"/>
        </w:rPr>
        <w:t>Раздел 3  «Анализ отчета об исполнении бюджета Совета народных депутатов Бутурлиновского муниципального района»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i/>
          <w:color w:val="000000"/>
          <w:sz w:val="28"/>
        </w:rPr>
        <w:t> 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t>Совет народных депутатов Бутурлиновского муниципального района является получателем бюджетных средств, финансируется з</w:t>
      </w:r>
      <w:r>
        <w:rPr>
          <w:rFonts w:ascii="Times New Roman" w:eastAsia="Times New Roman" w:hAnsi="Times New Roman"/>
          <w:color w:val="000000"/>
          <w:sz w:val="28"/>
        </w:rPr>
        <w:t>а счет средств муниципального  бюджета.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t>На 2020 год учреждению доведены лимиты бюджетных обязательств в сумме 1846472.02  руб.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t>За  2020 год бюджетные средства израсходованы в размере 1846412.02 руб., что составляет 100%  от плана.</w:t>
      </w:r>
    </w:p>
    <w:p w:rsidR="00000000" w:rsidRDefault="00141739">
      <w:r>
        <w:rPr>
          <w:rFonts w:ascii="Times New Roman" w:eastAsia="Times New Roman" w:hAnsi="Times New Roman"/>
          <w:color w:val="000000"/>
          <w:sz w:val="24"/>
        </w:rPr>
        <w:t> 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t> 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t> 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i/>
          <w:color w:val="000000"/>
          <w:sz w:val="28"/>
        </w:rPr>
        <w:t>Раздел 4  «Анализ п</w:t>
      </w:r>
      <w:r>
        <w:rPr>
          <w:rFonts w:ascii="Times New Roman" w:eastAsia="Times New Roman" w:hAnsi="Times New Roman"/>
          <w:b/>
          <w:i/>
          <w:color w:val="000000"/>
          <w:sz w:val="28"/>
        </w:rPr>
        <w:t>оказателей финансовой отчетности Совета народных депутатов Бутурлиновского муниципального района»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i/>
          <w:color w:val="000000"/>
          <w:sz w:val="28"/>
        </w:rPr>
        <w:t> </w:t>
      </w:r>
    </w:p>
    <w:tbl>
      <w:tblPr>
        <w:tblStyle w:val="Normal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3146"/>
        <w:gridCol w:w="1966"/>
        <w:gridCol w:w="4458"/>
      </w:tblGrid>
      <w:tr w:rsidR="00000000">
        <w:tc>
          <w:tcPr>
            <w:tcW w:w="3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Корреспондирующий счет</w:t>
            </w:r>
          </w:p>
        </w:tc>
        <w:tc>
          <w:tcPr>
            <w:tcW w:w="6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Код счета бюджетного учета</w:t>
            </w:r>
          </w:p>
        </w:tc>
      </w:tr>
      <w:tr w:rsidR="00000000">
        <w:tc>
          <w:tcPr>
            <w:tcW w:w="3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t xml:space="preserve">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1 401 10 189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причина</w:t>
            </w:r>
          </w:p>
        </w:tc>
      </w:tr>
      <w:tr w:rsidR="00000000"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Обязательства, всего, </w:t>
            </w:r>
          </w:p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в том числе по счетам: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1846412,02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> </w:t>
            </w:r>
          </w:p>
        </w:tc>
      </w:tr>
      <w:tr w:rsidR="00000000"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130400000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1846412,02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>Поступление из муниципального бюджета на обеспечение функций органов местного самоуправления и выполнение других расходных обязательств</w:t>
            </w:r>
          </w:p>
        </w:tc>
      </w:tr>
    </w:tbl>
    <w:p w:rsidR="00000000" w:rsidRDefault="00141739">
      <w:pPr>
        <w:jc w:val="center"/>
      </w:pPr>
      <w:r>
        <w:rPr>
          <w:b/>
          <w:i/>
          <w:color w:val="000000"/>
          <w:sz w:val="28"/>
        </w:rPr>
        <w:t> </w:t>
      </w:r>
    </w:p>
    <w:p w:rsidR="00000000" w:rsidRDefault="00141739">
      <w:pPr>
        <w:jc w:val="center"/>
      </w:pPr>
      <w:r>
        <w:rPr>
          <w:b/>
          <w:i/>
          <w:color w:val="000000"/>
          <w:sz w:val="28"/>
        </w:rPr>
        <w:t> 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>По состоянию на 01.01.2020 г.  балансовая стоимость основных средств Совета народных депутатов Бутурлиновского муни</w:t>
      </w:r>
      <w:r>
        <w:rPr>
          <w:rFonts w:ascii="Times New Roman" w:eastAsia="Times New Roman" w:hAnsi="Times New Roman"/>
          <w:color w:val="000000"/>
          <w:sz w:val="28"/>
        </w:rPr>
        <w:t>ципального района составила  149,6 тыс. руб. В 2020 году движения основных средств не было, на 01.01.2021 г. остаток по балансовой стоимости составил 149,6 тыс.руб. Все  объекты основных средств полностью самортизированы, остаточная стоимость равняется нул</w:t>
      </w:r>
      <w:r>
        <w:rPr>
          <w:rFonts w:ascii="Times New Roman" w:eastAsia="Times New Roman" w:hAnsi="Times New Roman"/>
          <w:color w:val="000000"/>
          <w:sz w:val="28"/>
        </w:rPr>
        <w:t>ю.</w:t>
      </w:r>
    </w:p>
    <w:p w:rsidR="00000000" w:rsidRDefault="00141739">
      <w:pPr>
        <w:ind w:firstLine="700"/>
        <w:jc w:val="both"/>
      </w:pPr>
      <w:r>
        <w:rPr>
          <w:rFonts w:ascii="Times New Roman" w:eastAsia="Times New Roman" w:hAnsi="Times New Roman"/>
          <w:color w:val="000000"/>
          <w:sz w:val="28"/>
        </w:rPr>
        <w:t>Материальные запасы на начало года составили 44,9 тыс. руб. В 2020 году поступило на 20,0 тыс. руб., списано на 26,1 тыс.руб. Остаток материальных запасов на конец года составляет 38,8 тыс.руб.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         В 2020 году сумма выданных авансов уменьшилась на </w:t>
      </w:r>
      <w:r>
        <w:rPr>
          <w:rFonts w:ascii="Times New Roman" w:eastAsia="Times New Roman" w:hAnsi="Times New Roman"/>
          <w:color w:val="000000"/>
          <w:sz w:val="28"/>
        </w:rPr>
        <w:t>1.9 тыс.руб. и составила на 01.01.2021 г. 0,3 тыс.руб.(аванс по услугам связи).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         Доходы Совета народных депутатов за 2020 год составляют 1846,4 тыс.руб. и состоят из поступлений муниципального бюджета на финансовое обеспечение функций деятельности </w:t>
      </w:r>
      <w:r>
        <w:rPr>
          <w:rFonts w:ascii="Times New Roman" w:eastAsia="Times New Roman" w:hAnsi="Times New Roman"/>
          <w:color w:val="000000"/>
          <w:sz w:val="28"/>
        </w:rPr>
        <w:t>органов местного самоуправления.</w:t>
      </w:r>
    </w:p>
    <w:p w:rsidR="00000000" w:rsidRDefault="00141739">
      <w:pPr>
        <w:jc w:val="both"/>
      </w:pPr>
      <w:r>
        <w:rPr>
          <w:color w:val="000000"/>
          <w:sz w:val="28"/>
        </w:rPr>
        <w:t>         </w:t>
      </w:r>
      <w:r>
        <w:rPr>
          <w:rFonts w:ascii="Times New Roman" w:eastAsia="Times New Roman" w:hAnsi="Times New Roman"/>
          <w:color w:val="000000"/>
          <w:sz w:val="28"/>
        </w:rPr>
        <w:t xml:space="preserve"> Расходы в 2020 г. составили 1854,4 тыс.руб., 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>в том числе: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>- расходы на оплату труда- 1391,8 тыс руб.;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>- начисления на выплаты по оплате труда – 416,6 тыс.руб.;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>- приобретение работ, услуг – 19,9 тыс.руб.;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>- расхо</w:t>
      </w:r>
      <w:r>
        <w:rPr>
          <w:rFonts w:ascii="Times New Roman" w:eastAsia="Times New Roman" w:hAnsi="Times New Roman"/>
          <w:color w:val="000000"/>
          <w:sz w:val="28"/>
        </w:rPr>
        <w:t>ды по операциям с активами – 26,1 тыс.руб.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>           Превышение суммы доходов над расходами составило 8,0 тыс.руб.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                 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> 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color w:val="000000"/>
        </w:rPr>
        <w:t> 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i/>
          <w:color w:val="000000"/>
          <w:sz w:val="28"/>
        </w:rPr>
        <w:t> 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color w:val="000000"/>
        </w:rPr>
        <w:t>РАСШИФРОВКА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дебиторской задолженности 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i/>
          <w:color w:val="000000"/>
          <w:sz w:val="28"/>
          <w:u w:val="single"/>
        </w:rPr>
        <w:t>по Совету народных депутатов Бутурлиновского муниципального района Воронежс</w:t>
      </w:r>
      <w:r>
        <w:rPr>
          <w:rFonts w:ascii="Times New Roman" w:eastAsia="Times New Roman" w:hAnsi="Times New Roman"/>
          <w:b/>
          <w:i/>
          <w:color w:val="000000"/>
          <w:sz w:val="28"/>
          <w:u w:val="single"/>
        </w:rPr>
        <w:t>кой области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i/>
          <w:color w:val="000000"/>
          <w:sz w:val="28"/>
          <w:u w:val="single"/>
        </w:rPr>
        <w:t> на 01.01.2021 г.</w:t>
      </w:r>
    </w:p>
    <w:p w:rsidR="00000000" w:rsidRDefault="00141739">
      <w:r>
        <w:rPr>
          <w:rFonts w:ascii="Times New Roman" w:eastAsia="Times New Roman" w:hAnsi="Times New Roman"/>
          <w:b/>
          <w:color w:val="000000"/>
          <w:sz w:val="28"/>
        </w:rPr>
        <w:t> </w:t>
      </w:r>
    </w:p>
    <w:tbl>
      <w:tblPr>
        <w:tblStyle w:val="Normal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815"/>
        <w:gridCol w:w="2340"/>
        <w:gridCol w:w="1940"/>
        <w:gridCol w:w="4642"/>
      </w:tblGrid>
      <w:tr w:rsidR="000000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№№/п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Показатели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Сумма,</w:t>
            </w:r>
          </w:p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руб.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Расшифровка задолженности</w:t>
            </w:r>
          </w:p>
        </w:tc>
      </w:tr>
      <w:tr w:rsidR="000000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Сч. 120621</w:t>
            </w:r>
          </w:p>
          <w:p w:rsidR="00000000" w:rsidRDefault="00141739"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 «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Расчеты по авансам по услугам связи»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336,26</w:t>
            </w:r>
          </w:p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ПАО «Вымпелком»  -аванс по услугам сотовой связи </w:t>
            </w:r>
          </w:p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> </w:t>
            </w:r>
          </w:p>
        </w:tc>
      </w:tr>
      <w:tr w:rsidR="000000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Итого по сч. 120600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336,26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NormalTable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148"/>
            </w:tblGrid>
            <w:tr w:rsidR="00000000"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41739">
                  <w:r>
                    <w:rPr>
                      <w:rFonts w:ascii="Times New Roman" w:eastAsia="Times New Roman" w:hAnsi="Times New Roman"/>
                      <w:color w:val="000000"/>
                      <w:sz w:val="16"/>
                    </w:rPr>
                    <w:t> </w:t>
                  </w:r>
                </w:p>
              </w:tc>
            </w:tr>
          </w:tbl>
          <w:p w:rsidR="00000000" w:rsidRDefault="00141739"/>
        </w:tc>
      </w:tr>
      <w:tr w:rsidR="000000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Сч. 130306</w:t>
            </w:r>
          </w:p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>«Расчеты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по страховым взносам на обязательное социальное страхование от несч. случаев и профзаболев.»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1,19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>Авансовый платеж по страховым взносам</w:t>
            </w:r>
          </w:p>
        </w:tc>
      </w:tr>
      <w:tr w:rsidR="000000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Сч. 130307</w:t>
            </w:r>
          </w:p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>«Расчеты по страховым взносам на обязательное медицинское страхование в ФФОМС»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10,23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Авансовый платеж по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страховым взносам</w:t>
            </w:r>
          </w:p>
        </w:tc>
      </w:tr>
      <w:tr w:rsidR="000000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Сч. 130310</w:t>
            </w:r>
          </w:p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>«Расчеты по страховым взносам на обязательное пенсионное страхование на выплату страх. части трудовой пенсии»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9,30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>Авансовый платеж по страховым взносам</w:t>
            </w:r>
          </w:p>
        </w:tc>
      </w:tr>
      <w:tr w:rsidR="000000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Сч. 130311</w:t>
            </w:r>
          </w:p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«Расчеты по страховым взносам на обязательное пенсионное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страхование на выплату накоп.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части трудовой пенсии»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10,68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>Авансовый платеж по страховым взносам</w:t>
            </w:r>
          </w:p>
        </w:tc>
      </w:tr>
      <w:tr w:rsidR="0000000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Итого по сч.130300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31,40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> </w:t>
            </w:r>
          </w:p>
        </w:tc>
      </w:tr>
    </w:tbl>
    <w:p w:rsidR="00000000" w:rsidRDefault="00141739">
      <w:pPr>
        <w:jc w:val="center"/>
      </w:pPr>
      <w:r>
        <w:rPr>
          <w:rFonts w:ascii="Times New Roman" w:eastAsia="Times New Roman" w:hAnsi="Times New Roman"/>
          <w:color w:val="000000"/>
        </w:rPr>
        <w:t>                                              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color w:val="000000"/>
        </w:rPr>
        <w:t> 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color w:val="000000"/>
        </w:rPr>
        <w:t>РАСШИФРОВКА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кредиторской задолженности 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i/>
          <w:color w:val="000000"/>
          <w:sz w:val="28"/>
          <w:u w:val="single"/>
        </w:rPr>
        <w:t>по Совету народных депутатов Бутурлинов</w:t>
      </w:r>
      <w:r>
        <w:rPr>
          <w:rFonts w:ascii="Times New Roman" w:eastAsia="Times New Roman" w:hAnsi="Times New Roman"/>
          <w:b/>
          <w:i/>
          <w:color w:val="000000"/>
          <w:sz w:val="28"/>
          <w:u w:val="single"/>
        </w:rPr>
        <w:t xml:space="preserve">ского муниципального района Воронежской области 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i/>
          <w:color w:val="000000"/>
          <w:sz w:val="28"/>
          <w:u w:val="single"/>
        </w:rPr>
        <w:t>на 01.01.2021 г.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color w:val="000000"/>
        </w:rPr>
        <w:t>                                              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color w:val="000000"/>
        </w:rPr>
        <w:t> </w:t>
      </w:r>
    </w:p>
    <w:tbl>
      <w:tblPr>
        <w:tblStyle w:val="Normal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632"/>
        <w:gridCol w:w="2771"/>
        <w:gridCol w:w="1767"/>
        <w:gridCol w:w="4400"/>
      </w:tblGrid>
      <w:tr w:rsidR="00000000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Показатели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Сумма,</w:t>
            </w:r>
          </w:p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руб.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Расшифровка задолженности</w:t>
            </w:r>
          </w:p>
        </w:tc>
      </w:tr>
      <w:tr w:rsidR="00000000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Сч. 130302</w:t>
            </w:r>
          </w:p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«Расчеты по страховым взносам на обязательное социальное страхование на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случай временной нетрудоспособности и в связи с материнством»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> 0,07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>Страховые взносы за декабрь 2020 г.</w:t>
            </w:r>
          </w:p>
        </w:tc>
      </w:tr>
      <w:tr w:rsidR="00000000"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Итого по</w:t>
            </w:r>
          </w:p>
          <w:p w:rsidR="00000000" w:rsidRDefault="00141739"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 сч. 130300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0,07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41739">
            <w:r>
              <w:rPr>
                <w:rFonts w:ascii="Times New Roman" w:eastAsia="Times New Roman" w:hAnsi="Times New Roman"/>
                <w:color w:val="000000"/>
                <w:sz w:val="28"/>
              </w:rPr>
              <w:t> </w:t>
            </w:r>
          </w:p>
        </w:tc>
      </w:tr>
    </w:tbl>
    <w:p w:rsidR="00000000" w:rsidRDefault="00141739">
      <w:pPr>
        <w:jc w:val="center"/>
      </w:pPr>
      <w:r>
        <w:rPr>
          <w:rFonts w:ascii="Times New Roman" w:eastAsia="Times New Roman" w:hAnsi="Times New Roman"/>
          <w:color w:val="000000"/>
        </w:rPr>
        <w:t> 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color w:val="000000"/>
        </w:rPr>
        <w:t> 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i/>
          <w:color w:val="000000"/>
          <w:sz w:val="28"/>
        </w:rPr>
        <w:t>Раздел 5  «Прочие вопросы деятельности Совета народных депутатов Бутурлиновского муниципального района»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i/>
          <w:color w:val="000000"/>
          <w:sz w:val="28"/>
        </w:rPr>
        <w:t> 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>Инвентариз</w:t>
      </w:r>
      <w:r>
        <w:rPr>
          <w:rFonts w:ascii="Times New Roman" w:eastAsia="Times New Roman" w:hAnsi="Times New Roman"/>
          <w:color w:val="000000"/>
          <w:sz w:val="28"/>
        </w:rPr>
        <w:t>ация в целях составления годовой отчетности за 2020 год проведена по состоянию на 01 декабря 2020 г. Недостач и излишков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не обнаружено.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>В  составе годовой отчетности и пояснительной записки к ней представлены формы , не имеющие числовых значений: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>– Сведени</w:t>
      </w:r>
      <w:r>
        <w:rPr>
          <w:rFonts w:ascii="Times New Roman" w:eastAsia="Times New Roman" w:hAnsi="Times New Roman"/>
          <w:color w:val="000000"/>
          <w:sz w:val="28"/>
        </w:rPr>
        <w:t>я об исполнении мероприятий в рамках целевых программ (ф. 0503166);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>– Сведения о целевых иностранных кредитах (ф. 0503167);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>– Сведения о финансовых вложениях получателя бюджетных средств, администратора источников финансирования дефицита бюджета (ф.0503171</w:t>
      </w:r>
      <w:r>
        <w:rPr>
          <w:rFonts w:ascii="Times New Roman" w:eastAsia="Times New Roman" w:hAnsi="Times New Roman"/>
          <w:color w:val="000000"/>
          <w:sz w:val="28"/>
        </w:rPr>
        <w:t>);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  <w:sz w:val="28"/>
        </w:rPr>
        <w:t>– Сведения о госдолге, бюджетных кредитах (ф. 0503172).</w:t>
      </w:r>
    </w:p>
    <w:p w:rsidR="00000000" w:rsidRDefault="00141739">
      <w:pPr>
        <w:jc w:val="both"/>
      </w:pPr>
      <w:r>
        <w:rPr>
          <w:rFonts w:ascii="Times New Roman" w:eastAsia="Times New Roman" w:hAnsi="Times New Roman"/>
          <w:color w:val="000000"/>
        </w:rPr>
        <w:t>                                         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lastRenderedPageBreak/>
        <w:t> 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t>Глава Бутурлиновского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t>муниципального района ________________    Е.Е. Бондаренко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t> 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color w:val="000000"/>
          <w:sz w:val="28"/>
        </w:rPr>
        <w:t> </w:t>
      </w:r>
    </w:p>
    <w:p w:rsidR="00000000" w:rsidRDefault="00141739">
      <w:pPr>
        <w:jc w:val="center"/>
      </w:pPr>
      <w:r>
        <w:rPr>
          <w:rFonts w:ascii="Times New Roman" w:eastAsia="Times New Roman" w:hAnsi="Times New Roman"/>
          <w:b/>
          <w:i/>
          <w:color w:val="000000"/>
          <w:sz w:val="28"/>
        </w:rPr>
        <w:t> </w:t>
      </w:r>
    </w:p>
    <w:p w:rsidR="00000000" w:rsidRDefault="00141739">
      <w:r>
        <w:rPr>
          <w:rFonts w:ascii="Times New Roman" w:eastAsia="Times New Roman" w:hAnsi="Times New Roman"/>
          <w:color w:val="000000"/>
          <w:sz w:val="28"/>
        </w:rPr>
        <w:t> </w:t>
      </w:r>
    </w:p>
    <w:p w:rsidR="00000000" w:rsidRDefault="00141739">
      <w:r>
        <w:rPr>
          <w:color w:val="000000"/>
          <w:sz w:val="28"/>
        </w:rPr>
        <w:t> </w:t>
      </w:r>
    </w:p>
    <w:p w:rsidR="00000000" w:rsidRDefault="00141739">
      <w:r>
        <w:rPr>
          <w:color w:val="000000"/>
          <w:sz w:val="28"/>
        </w:rPr>
        <w:t> </w:t>
      </w:r>
    </w:p>
    <w:p w:rsidR="00000000" w:rsidRDefault="00141739">
      <w:r>
        <w:rPr>
          <w:color w:val="000000"/>
        </w:rPr>
        <w:t> </w:t>
      </w:r>
    </w:p>
    <w:tbl>
      <w:tblPr>
        <w:tblStyle w:val="NormalTable"/>
        <w:tblW w:w="9380" w:type="dxa"/>
        <w:tblInd w:w="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3570"/>
        <w:gridCol w:w="2040"/>
        <w:gridCol w:w="3770"/>
      </w:tblGrid>
      <w:tr w:rsidR="00000000"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Руководитель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/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/>
        </w:tc>
      </w:tr>
      <w:tr w:rsidR="00000000">
        <w:trPr>
          <w:trHeight w:val="280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(расшифровка подписи)</w:t>
            </w:r>
          </w:p>
        </w:tc>
      </w:tr>
      <w:tr w:rsidR="00000000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000000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Руково</w:t>
            </w:r>
            <w:r>
              <w:rPr>
                <w:rFonts w:ascii="Times New Roman" w:eastAsia="Times New Roman" w:hAnsi="Times New Roman"/>
                <w:sz w:val="20"/>
              </w:rPr>
              <w:t>дитель планово-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>
            <w:pPr>
              <w:rPr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экономической службы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(расшифровка подписи)</w:t>
            </w:r>
          </w:p>
        </w:tc>
      </w:tr>
      <w:tr w:rsidR="00000000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Главный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141739">
            <w:pPr>
              <w:rPr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бухгалтер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(расшифровка подписи)</w:t>
            </w:r>
          </w:p>
        </w:tc>
      </w:tr>
      <w:tr w:rsidR="00000000">
        <w:trPr>
          <w:trHeight w:val="449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"____"   ____________ 20____г.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41739">
            <w:pPr>
              <w:rPr>
                <w:sz w:val="24"/>
              </w:rPr>
            </w:pPr>
          </w:p>
        </w:tc>
      </w:tr>
    </w:tbl>
    <w:p w:rsidR="00141739" w:rsidRDefault="00141739">
      <w:r>
        <w:rPr>
          <w:rFonts w:ascii="Times New Roman" w:eastAsia="Times New Roman" w:hAnsi="Times New Roman"/>
          <w:sz w:val="24"/>
        </w:rPr>
        <w:t xml:space="preserve">        </w:t>
      </w:r>
    </w:p>
    <w:sectPr w:rsidR="00141739">
      <w:pgSz w:w="12240" w:h="15840"/>
      <w:pgMar w:top="1133" w:right="850" w:bottom="1133" w:left="17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adjustLineHeightInTable/>
  </w:compat>
  <w:rsids>
    <w:rsidRoot w:val="00F31B2F"/>
    <w:rsid w:val="00141739"/>
    <w:rsid w:val="00F3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black" strokecolor="black" shadowcolor="black" extrusioncolor="black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</w:pBdr>
    </w:pPr>
    <w:rPr>
      <w:sz w:val="22"/>
    </w:rPr>
  </w:style>
  <w:style w:type="character" w:default="1" w:styleId="a0">
    <w:name w:val="Default Paragraph Font"/>
    <w:rPr>
      <w:sz w:val="22"/>
    </w:rPr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next w:val="a"/>
  </w:style>
  <w:style w:type="character" w:customStyle="1" w:styleId="LineNumber">
    <w:name w:val="Line Number"/>
    <w:basedOn w:val="a0"/>
  </w:style>
  <w:style w:type="character" w:customStyle="1" w:styleId="Hyperlink">
    <w:name w:val="Hyperlink"/>
    <w:rPr>
      <w:color w:val="0000FF"/>
      <w:u w:val="single"/>
    </w:rPr>
  </w:style>
  <w:style w:type="table" w:customStyle="1" w:styleId="NormalTable">
    <w:name w:val="Normal Table"/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1">
    <w:name w:val="Table Simple 1"/>
    <w:basedOn w:val="NormalTab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1133</Words>
  <Characters>6463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GLAV-BUH\Пользователь</dc:creator>
  <cp:lastModifiedBy>Пользователь Windows</cp:lastModifiedBy>
  <cp:revision>2</cp:revision>
  <dcterms:created xsi:type="dcterms:W3CDTF">2021-03-03T13:18:00Z</dcterms:created>
  <dcterms:modified xsi:type="dcterms:W3CDTF">2021-03-03T13:18:00Z</dcterms:modified>
</cp:coreProperties>
</file>